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温州钛克科技有限公司</w:t>
      </w:r>
    </w:p>
    <w:p>
      <w:pPr>
        <w:spacing w:line="36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年产2000台升降设备、6000台照明设备建设项目</w:t>
      </w:r>
    </w:p>
    <w:p>
      <w:pPr>
        <w:spacing w:line="36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竣工环境保护验收意见</w:t>
      </w:r>
    </w:p>
    <w:p>
      <w:pPr>
        <w:spacing w:line="5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w:t>
      </w:r>
      <w:r>
        <w:rPr>
          <w:rFonts w:ascii="仿宋" w:hAnsi="仿宋" w:eastAsia="仿宋"/>
          <w:color w:val="000000" w:themeColor="text1"/>
          <w:sz w:val="28"/>
          <w:szCs w:val="28"/>
          <w14:textFill>
            <w14:solidFill>
              <w14:schemeClr w14:val="tx1"/>
            </w14:solidFill>
          </w14:textFill>
        </w:rPr>
        <w:t>21</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月5日，温州钛克科技有限公司根据《温州钛克科技有限公司年产2000台升降设备、6000台照明设备建设项目竣工环境保护验收监测报告表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，并对照《建设项目竣工环境保护验收暂行办法》，严格按照国</w:t>
      </w:r>
      <w:r>
        <w:rPr>
          <w:rFonts w:ascii="仿宋" w:hAnsi="仿宋" w:eastAsia="仿宋"/>
          <w:color w:val="000000" w:themeColor="text1"/>
          <w:sz w:val="28"/>
          <w:szCs w:val="28"/>
          <w14:textFill>
            <w14:solidFill>
              <w14:schemeClr w14:val="tx1"/>
            </w14:solidFill>
          </w14:textFill>
        </w:rPr>
        <w:t>家有关</w:t>
      </w:r>
      <w:r>
        <w:rPr>
          <w:rFonts w:hint="eastAsia" w:ascii="仿宋" w:hAnsi="仿宋" w:eastAsia="仿宋"/>
          <w:color w:val="000000" w:themeColor="text1"/>
          <w:sz w:val="28"/>
          <w:szCs w:val="28"/>
          <w14:textFill>
            <w14:solidFill>
              <w14:schemeClr w14:val="tx1"/>
            </w14:solidFill>
          </w14:textFill>
        </w:rPr>
        <w:t>法律法规、验收技术规范、环评文件</w:t>
      </w:r>
      <w:r>
        <w:rPr>
          <w:rFonts w:ascii="仿宋" w:hAnsi="仿宋" w:eastAsia="仿宋"/>
          <w:color w:val="000000" w:themeColor="text1"/>
          <w:sz w:val="28"/>
          <w:szCs w:val="28"/>
          <w14:textFill>
            <w14:solidFill>
              <w14:schemeClr w14:val="tx1"/>
            </w14:solidFill>
          </w14:textFill>
        </w:rPr>
        <w:t>等要求</w:t>
      </w:r>
      <w:r>
        <w:rPr>
          <w:rFonts w:hint="eastAsia" w:ascii="仿宋" w:hAnsi="仿宋" w:eastAsia="仿宋"/>
          <w:color w:val="000000" w:themeColor="text1"/>
          <w:sz w:val="28"/>
          <w:szCs w:val="28"/>
          <w14:textFill>
            <w14:solidFill>
              <w14:schemeClr w14:val="tx1"/>
            </w14:solidFill>
          </w14:textFill>
        </w:rPr>
        <w:t>对本</w:t>
      </w:r>
      <w:r>
        <w:rPr>
          <w:rFonts w:ascii="仿宋" w:hAnsi="仿宋" w:eastAsia="仿宋"/>
          <w:color w:val="000000" w:themeColor="text1"/>
          <w:sz w:val="28"/>
          <w:szCs w:val="28"/>
          <w14:textFill>
            <w14:solidFill>
              <w14:schemeClr w14:val="tx1"/>
            </w14:solidFill>
          </w14:textFill>
        </w:rPr>
        <w:t>项目进行</w:t>
      </w:r>
      <w:r>
        <w:rPr>
          <w:rFonts w:hint="eastAsia" w:ascii="仿宋" w:hAnsi="仿宋" w:eastAsia="仿宋"/>
          <w:color w:val="000000" w:themeColor="text1"/>
          <w:sz w:val="28"/>
          <w:szCs w:val="28"/>
          <w14:textFill>
            <w14:solidFill>
              <w14:schemeClr w14:val="tx1"/>
            </w14:solidFill>
          </w14:textFill>
        </w:rPr>
        <w:t>验收，</w:t>
      </w:r>
      <w:r>
        <w:rPr>
          <w:rFonts w:ascii="仿宋" w:hAnsi="仿宋" w:eastAsia="仿宋"/>
          <w:color w:val="000000" w:themeColor="text1"/>
          <w:sz w:val="28"/>
          <w:szCs w:val="28"/>
          <w14:textFill>
            <w14:solidFill>
              <w14:schemeClr w14:val="tx1"/>
            </w14:solidFill>
          </w14:textFill>
        </w:rPr>
        <w:t>提出</w:t>
      </w:r>
      <w:r>
        <w:rPr>
          <w:rFonts w:hint="eastAsia" w:ascii="仿宋" w:hAnsi="仿宋" w:eastAsia="仿宋"/>
          <w:color w:val="000000" w:themeColor="text1"/>
          <w:sz w:val="28"/>
          <w:szCs w:val="28"/>
          <w14:textFill>
            <w14:solidFill>
              <w14:schemeClr w14:val="tx1"/>
            </w14:solidFill>
          </w14:textFill>
        </w:rPr>
        <w:t>意见如下：</w:t>
      </w:r>
    </w:p>
    <w:p>
      <w:pPr>
        <w:spacing w:line="560" w:lineRule="exact"/>
        <w:ind w:firstLine="562" w:firstLineChars="200"/>
        <w:outlineLvl w:val="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一、工程建设基本情况：</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建设地点、规模、主要建设内容</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温州钛克科技有限公司是一家专业从事文具、照明灯具、液压及气压动力机械及元件等的研发、制造及销售的企业，公司通过购置位于浙江省温州市温州瓯江口产业集聚区雁云路706号温州文博科技产业园6幢101号的工业商品房，开展升降设备、照明设备的生产。总建筑面积3594.23㎡。项目主要生产工艺为机加工、焊接、装配等，设计年产</w:t>
      </w:r>
      <w:r>
        <w:rPr>
          <w:rFonts w:ascii="仿宋" w:hAnsi="仿宋" w:eastAsia="仿宋" w:cs="仿宋"/>
          <w:color w:val="000000" w:themeColor="text1"/>
          <w:sz w:val="28"/>
          <w:szCs w:val="28"/>
          <w14:textFill>
            <w14:solidFill>
              <w14:schemeClr w14:val="tx1"/>
            </w14:solidFill>
          </w14:textFill>
        </w:rPr>
        <w:t>2000台升降设备、6000台照明设备</w:t>
      </w:r>
      <w:r>
        <w:rPr>
          <w:rFonts w:hint="eastAsia" w:ascii="仿宋" w:hAnsi="仿宋" w:eastAsia="仿宋" w:cs="仿宋"/>
          <w:color w:val="000000" w:themeColor="text1"/>
          <w:sz w:val="28"/>
          <w:szCs w:val="28"/>
          <w14:textFill>
            <w14:solidFill>
              <w14:schemeClr w14:val="tx1"/>
            </w14:solidFill>
          </w14:textFill>
        </w:rPr>
        <w:t>，现实际已达到设计生产规模。</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w:t>
      </w:r>
      <w:r>
        <w:rPr>
          <w:rFonts w:ascii="仿宋" w:hAnsi="仿宋" w:eastAsia="仿宋" w:cs="仿宋"/>
          <w:color w:val="000000" w:themeColor="text1"/>
          <w:sz w:val="28"/>
          <w:szCs w:val="28"/>
          <w14:textFill>
            <w14:solidFill>
              <w14:schemeClr w14:val="tx1"/>
            </w14:solidFill>
          </w14:textFill>
        </w:rPr>
        <w:t>目</w:t>
      </w:r>
      <w:r>
        <w:rPr>
          <w:rFonts w:hint="eastAsia" w:ascii="仿宋" w:hAnsi="仿宋" w:eastAsia="仿宋" w:cs="仿宋"/>
          <w:color w:val="000000" w:themeColor="text1"/>
          <w:sz w:val="28"/>
          <w:szCs w:val="28"/>
          <w14:textFill>
            <w14:solidFill>
              <w14:schemeClr w14:val="tx1"/>
            </w14:solidFill>
          </w14:textFill>
        </w:rPr>
        <w:t>现有</w:t>
      </w:r>
      <w:r>
        <w:rPr>
          <w:rFonts w:ascii="仿宋" w:hAnsi="仿宋" w:eastAsia="仿宋" w:cs="仿宋"/>
          <w:color w:val="000000" w:themeColor="text1"/>
          <w:sz w:val="28"/>
          <w:szCs w:val="28"/>
          <w14:textFill>
            <w14:solidFill>
              <w14:schemeClr w14:val="tx1"/>
            </w14:solidFill>
          </w14:textFill>
        </w:rPr>
        <w:t>职工20</w:t>
      </w:r>
      <w:r>
        <w:rPr>
          <w:rFonts w:hint="eastAsia" w:ascii="仿宋" w:hAnsi="仿宋" w:eastAsia="仿宋" w:cs="仿宋"/>
          <w:color w:val="000000" w:themeColor="text1"/>
          <w:sz w:val="28"/>
          <w:szCs w:val="28"/>
          <w14:textFill>
            <w14:solidFill>
              <w14:schemeClr w14:val="tx1"/>
            </w14:solidFill>
          </w14:textFill>
        </w:rPr>
        <w:t>人</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企业不设食堂与住宿</w:t>
      </w:r>
      <w:r>
        <w:rPr>
          <w:rFonts w:ascii="仿宋" w:hAnsi="仿宋" w:eastAsia="仿宋" w:cs="仿宋"/>
          <w:color w:val="000000" w:themeColor="text1"/>
          <w:sz w:val="28"/>
          <w:szCs w:val="28"/>
          <w14:textFill>
            <w14:solidFill>
              <w14:schemeClr w14:val="tx1"/>
            </w14:solidFill>
          </w14:textFill>
        </w:rPr>
        <w:t>。生产实行</w:t>
      </w:r>
      <w:r>
        <w:rPr>
          <w:rFonts w:hint="eastAsia" w:ascii="仿宋" w:hAnsi="仿宋" w:eastAsia="仿宋" w:cs="仿宋"/>
          <w:color w:val="000000" w:themeColor="text1"/>
          <w:sz w:val="28"/>
          <w:szCs w:val="28"/>
          <w14:textFill>
            <w14:solidFill>
              <w14:schemeClr w14:val="tx1"/>
            </w14:solidFill>
          </w14:textFill>
        </w:rPr>
        <w:t>一</w:t>
      </w:r>
      <w:r>
        <w:rPr>
          <w:rFonts w:ascii="仿宋" w:hAnsi="仿宋" w:eastAsia="仿宋" w:cs="仿宋"/>
          <w:color w:val="000000" w:themeColor="text1"/>
          <w:sz w:val="28"/>
          <w:szCs w:val="28"/>
          <w14:textFill>
            <w14:solidFill>
              <w14:schemeClr w14:val="tx1"/>
            </w14:solidFill>
          </w14:textFill>
        </w:rPr>
        <w:t>班制，日工作时间为8小时，年工作日为</w:t>
      </w:r>
      <w:r>
        <w:rPr>
          <w:rFonts w:hint="eastAsia" w:ascii="仿宋" w:hAnsi="仿宋" w:eastAsia="仿宋" w:cs="仿宋"/>
          <w:color w:val="000000" w:themeColor="text1"/>
          <w:sz w:val="28"/>
          <w:szCs w:val="28"/>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0</w:t>
      </w:r>
      <w:r>
        <w:rPr>
          <w:rFonts w:ascii="仿宋" w:hAnsi="仿宋" w:eastAsia="仿宋" w:cs="仿宋"/>
          <w:color w:val="000000" w:themeColor="text1"/>
          <w:sz w:val="28"/>
          <w:szCs w:val="28"/>
          <w14:textFill>
            <w14:solidFill>
              <w14:schemeClr w14:val="tx1"/>
            </w14:solidFill>
          </w14:textFill>
        </w:rPr>
        <w:t>天。</w:t>
      </w:r>
    </w:p>
    <w:p>
      <w:pPr>
        <w:spacing w:line="5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建设过程及环保审批情况</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企业于2020年12月委托河海生态环境技术（浙江）有限公司编制《温州钛克科技有限公司年产2000台升降设备、6000台照明设备建设项目环境影响报告表》，并于2020年1</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t>日通过温州市生态环境局的审批（温环建〔2020〕</w:t>
      </w:r>
      <w:r>
        <w:rPr>
          <w:rFonts w:ascii="仿宋" w:hAnsi="仿宋" w:eastAsia="仿宋" w:cs="仿宋"/>
          <w:color w:val="000000" w:themeColor="text1"/>
          <w:sz w:val="28"/>
          <w:szCs w:val="28"/>
          <w14:textFill>
            <w14:solidFill>
              <w14:schemeClr w14:val="tx1"/>
            </w14:solidFill>
          </w14:textFill>
        </w:rPr>
        <w:t>112</w:t>
      </w:r>
      <w:r>
        <w:rPr>
          <w:rFonts w:hint="eastAsia" w:ascii="仿宋" w:hAnsi="仿宋" w:eastAsia="仿宋" w:cs="仿宋"/>
          <w:color w:val="000000" w:themeColor="text1"/>
          <w:sz w:val="28"/>
          <w:szCs w:val="28"/>
          <w14:textFill>
            <w14:solidFill>
              <w14:schemeClr w14:val="tx1"/>
            </w14:solidFill>
          </w14:textFill>
        </w:rPr>
        <w:t>号</w:t>
      </w:r>
      <w:r>
        <w:rPr>
          <w:rFonts w:ascii="仿宋" w:hAnsi="仿宋" w:eastAsia="仿宋" w:cs="仿宋"/>
          <w:color w:val="000000" w:themeColor="text1"/>
          <w:sz w:val="28"/>
          <w:szCs w:val="28"/>
          <w14:textFill>
            <w14:solidFill>
              <w14:schemeClr w14:val="tx1"/>
            </w14:solidFill>
          </w14:textFill>
        </w:rPr>
        <w:t>)。</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项目于</w:t>
      </w:r>
      <w:r>
        <w:rPr>
          <w:rFonts w:hint="eastAsia" w:ascii="仿宋" w:hAnsi="仿宋" w:eastAsia="仿宋" w:cs="仿宋"/>
          <w:color w:val="000000" w:themeColor="text1"/>
          <w:sz w:val="28"/>
          <w:szCs w:val="28"/>
          <w14:textFill>
            <w14:solidFill>
              <w14:schemeClr w14:val="tx1"/>
            </w14:solidFill>
          </w14:textFill>
        </w:rPr>
        <w:t>20</w:t>
      </w:r>
      <w:r>
        <w:rPr>
          <w:rFonts w:ascii="仿宋" w:hAnsi="仿宋" w:eastAsia="仿宋" w:cs="仿宋"/>
          <w:color w:val="000000" w:themeColor="text1"/>
          <w:sz w:val="28"/>
          <w:szCs w:val="28"/>
          <w14:textFill>
            <w14:solidFill>
              <w14:schemeClr w14:val="tx1"/>
            </w14:solidFill>
          </w14:textFill>
        </w:rPr>
        <w:t>20年9</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14:textFill>
            <w14:solidFill>
              <w14:schemeClr w14:val="tx1"/>
            </w14:solidFill>
          </w14:textFill>
        </w:rPr>
        <w:t>开工，</w:t>
      </w: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021</w:t>
      </w:r>
      <w:r>
        <w:rPr>
          <w:rFonts w:hint="eastAsia" w:ascii="仿宋" w:hAnsi="仿宋" w:eastAsia="仿宋" w:cs="仿宋"/>
          <w:color w:val="000000" w:themeColor="text1"/>
          <w:sz w:val="28"/>
          <w:szCs w:val="28"/>
          <w14:textFill>
            <w14:solidFill>
              <w14:schemeClr w14:val="tx1"/>
            </w14:solidFill>
          </w14:textFill>
        </w:rPr>
        <w:t>年2</w:t>
      </w:r>
      <w:r>
        <w:rPr>
          <w:rFonts w:ascii="仿宋" w:hAnsi="仿宋" w:eastAsia="仿宋" w:cs="仿宋"/>
          <w:color w:val="000000" w:themeColor="text1"/>
          <w:sz w:val="28"/>
          <w:szCs w:val="28"/>
          <w14:textFill>
            <w14:solidFill>
              <w14:schemeClr w14:val="tx1"/>
            </w14:solidFill>
          </w14:textFill>
        </w:rPr>
        <w:t>月竣工</w:t>
      </w:r>
      <w:r>
        <w:rPr>
          <w:rFonts w:hint="eastAsia" w:ascii="仿宋" w:hAnsi="仿宋" w:eastAsia="仿宋" w:cs="仿宋"/>
          <w:color w:val="000000" w:themeColor="text1"/>
          <w:sz w:val="28"/>
          <w:szCs w:val="28"/>
          <w14:textFill>
            <w14:solidFill>
              <w14:schemeClr w14:val="tx1"/>
            </w14:solidFill>
          </w14:textFill>
        </w:rPr>
        <w:t>并投入试生产。</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（三）投资情况</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项目实际</w:t>
      </w:r>
      <w:r>
        <w:rPr>
          <w:rFonts w:ascii="仿宋" w:hAnsi="仿宋" w:eastAsia="仿宋"/>
          <w:color w:val="000000" w:themeColor="text1"/>
          <w:sz w:val="28"/>
          <w:szCs w:val="28"/>
          <w14:textFill>
            <w14:solidFill>
              <w14:schemeClr w14:val="tx1"/>
            </w14:solidFill>
          </w14:textFill>
        </w:rPr>
        <w:t>总投资500万元，其中环保投资5万元，占</w:t>
      </w:r>
      <w:r>
        <w:rPr>
          <w:rFonts w:hint="eastAsia" w:ascii="仿宋" w:hAnsi="仿宋" w:eastAsia="仿宋"/>
          <w:color w:val="000000" w:themeColor="text1"/>
          <w:sz w:val="28"/>
          <w:szCs w:val="28"/>
          <w14:textFill>
            <w14:solidFill>
              <w14:schemeClr w14:val="tx1"/>
            </w14:solidFill>
          </w14:textFill>
        </w:rPr>
        <w:t>总</w:t>
      </w:r>
      <w:r>
        <w:rPr>
          <w:rFonts w:ascii="仿宋" w:hAnsi="仿宋" w:eastAsia="仿宋"/>
          <w:color w:val="000000" w:themeColor="text1"/>
          <w:sz w:val="28"/>
          <w:szCs w:val="28"/>
          <w14:textFill>
            <w14:solidFill>
              <w14:schemeClr w14:val="tx1"/>
            </w14:solidFill>
          </w14:textFill>
        </w:rPr>
        <w:t>投资额的1.0</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w:t>
      </w:r>
      <w:r>
        <w:rPr>
          <w:rFonts w:ascii="仿宋" w:hAnsi="仿宋" w:eastAsia="仿宋" w:cs="仿宋"/>
          <w:color w:val="000000" w:themeColor="text1"/>
          <w:sz w:val="28"/>
          <w:szCs w:val="28"/>
          <w14:textFill>
            <w14:solidFill>
              <w14:schemeClr w14:val="tx1"/>
            </w14:solidFill>
          </w14:textFill>
        </w:rPr>
        <w:t>验收范围</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本次验收的范围为温州钛克科技有限公司年产2000台升降设备、6000台照明设备建设项目。</w:t>
      </w:r>
    </w:p>
    <w:p>
      <w:pPr>
        <w:spacing w:line="5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工程变更情况</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根据现场调查，本项目性质、规模、建设地点</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生产工艺等均未有发生变化，不存在重大变化，满足验收条件。</w:t>
      </w:r>
    </w:p>
    <w:p>
      <w:pPr>
        <w:spacing w:line="5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三、环境保护设施落实情况</w:t>
      </w:r>
    </w:p>
    <w:p>
      <w:pPr>
        <w:tabs>
          <w:tab w:val="left" w:pos="750"/>
        </w:tabs>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（一）废水</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bookmarkStart w:id="0" w:name="_Hlk516081463"/>
      <w:r>
        <w:rPr>
          <w:rFonts w:ascii="仿宋" w:hAnsi="仿宋" w:eastAsia="仿宋"/>
          <w:color w:val="000000" w:themeColor="text1"/>
          <w:sz w:val="28"/>
          <w:szCs w:val="28"/>
          <w14:textFill>
            <w14:solidFill>
              <w14:schemeClr w14:val="tx1"/>
            </w14:solidFill>
          </w14:textFill>
        </w:rPr>
        <w:t>项目废水为</w:t>
      </w:r>
      <w:r>
        <w:rPr>
          <w:rFonts w:hint="eastAsia" w:ascii="仿宋" w:hAnsi="仿宋" w:eastAsia="仿宋"/>
          <w:color w:val="000000" w:themeColor="text1"/>
          <w:sz w:val="28"/>
          <w:szCs w:val="28"/>
          <w14:textFill>
            <w14:solidFill>
              <w14:schemeClr w14:val="tx1"/>
            </w14:solidFill>
          </w14:textFill>
        </w:rPr>
        <w:t>员工生活污水，无生产废水产生</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项目生活污水经化粪池预处理达到《污水综合排放标准》（GB8978-1996）的三级标准（其中</w:t>
      </w:r>
      <w:r>
        <w:rPr>
          <w:rFonts w:ascii="仿宋" w:hAnsi="仿宋" w:eastAsia="仿宋"/>
          <w:color w:val="000000" w:themeColor="text1"/>
          <w:sz w:val="28"/>
          <w:szCs w:val="28"/>
          <w14:textFill>
            <w14:solidFill>
              <w14:schemeClr w14:val="tx1"/>
            </w14:solidFill>
          </w14:textFill>
        </w:rPr>
        <w:t>氨氮</w:t>
      </w:r>
      <w:r>
        <w:rPr>
          <w:rFonts w:hint="eastAsia" w:ascii="仿宋" w:hAnsi="仿宋" w:eastAsia="仿宋"/>
          <w:color w:val="000000" w:themeColor="text1"/>
          <w:sz w:val="28"/>
          <w:szCs w:val="28"/>
          <w14:textFill>
            <w14:solidFill>
              <w14:schemeClr w14:val="tx1"/>
            </w14:solidFill>
          </w14:textFill>
        </w:rPr>
        <w:t>达到《工业企业废水氮、磷污染物间接排放限值》（DB33/887—2013）中的限值要求）后纳入市政污水管网，再经瓯江口新区西片污水处理厂处理至《城镇污水处理厂污染物排放标准》（GB18918-2002)中的一级A标准后排放。</w:t>
      </w:r>
    </w:p>
    <w:bookmarkEnd w:id="0"/>
    <w:p>
      <w:pPr>
        <w:spacing w:line="56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（三）废气</w:t>
      </w:r>
    </w:p>
    <w:p>
      <w:pPr>
        <w:spacing w:line="56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项目生产过程中产生的废气主要为焊接废气。</w:t>
      </w:r>
    </w:p>
    <w:p>
      <w:pPr>
        <w:spacing w:line="56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焊接废气经移动式焊烟净化器净化处理在车间内无组织排放，</w:t>
      </w:r>
      <w:r>
        <w:rPr>
          <w:rFonts w:ascii="仿宋" w:hAnsi="仿宋" w:eastAsia="仿宋"/>
          <w:color w:val="000000" w:themeColor="text1"/>
          <w:sz w:val="28"/>
          <w:szCs w:val="28"/>
          <w14:textFill>
            <w14:solidFill>
              <w14:schemeClr w14:val="tx1"/>
            </w14:solidFill>
          </w14:textFill>
        </w:rPr>
        <w:t>在加强车间通风的基础上，不会对周围大气环境造成明显不利的影响。</w:t>
      </w:r>
    </w:p>
    <w:p>
      <w:pPr>
        <w:spacing w:line="56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（三）噪声</w:t>
      </w:r>
    </w:p>
    <w:p>
      <w:pPr>
        <w:autoSpaceDE w:val="0"/>
        <w:autoSpaceDN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项目噪声主要来自</w:t>
      </w:r>
      <w:r>
        <w:rPr>
          <w:rFonts w:hint="eastAsia" w:ascii="仿宋" w:hAnsi="仿宋" w:eastAsia="仿宋"/>
          <w:color w:val="000000" w:themeColor="text1"/>
          <w:sz w:val="28"/>
          <w:szCs w:val="28"/>
          <w14:textFill>
            <w14:solidFill>
              <w14:schemeClr w14:val="tx1"/>
            </w14:solidFill>
          </w14:textFill>
        </w:rPr>
        <w:t>各</w:t>
      </w:r>
      <w:r>
        <w:rPr>
          <w:rFonts w:ascii="仿宋" w:hAnsi="仿宋" w:eastAsia="仿宋"/>
          <w:color w:val="000000" w:themeColor="text1"/>
          <w:sz w:val="28"/>
          <w:szCs w:val="28"/>
          <w14:textFill>
            <w14:solidFill>
              <w14:schemeClr w14:val="tx1"/>
            </w14:solidFill>
          </w14:textFill>
        </w:rPr>
        <w:t>机械设备运行。</w:t>
      </w:r>
      <w:r>
        <w:rPr>
          <w:rFonts w:hint="eastAsia" w:ascii="仿宋" w:hAnsi="仿宋" w:eastAsia="仿宋"/>
          <w:color w:val="000000" w:themeColor="text1"/>
          <w:sz w:val="28"/>
          <w:szCs w:val="28"/>
          <w14:textFill>
            <w14:solidFill>
              <w14:schemeClr w14:val="tx1"/>
            </w14:solidFill>
          </w14:textFill>
        </w:rPr>
        <w:t>项目尽可能选择低噪声设备，合理布局车间内生产设备；确保设备处于良好的运转状态，杜绝因设备不正常运转时产生的高噪声现象。</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（四）固体废弃物</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项目固废主要为</w:t>
      </w:r>
      <w:r>
        <w:rPr>
          <w:rFonts w:hint="eastAsia" w:ascii="仿宋" w:hAnsi="仿宋" w:eastAsia="仿宋"/>
          <w:color w:val="000000" w:themeColor="text1"/>
          <w:sz w:val="28"/>
          <w:szCs w:val="28"/>
          <w14:textFill>
            <w14:solidFill>
              <w14:schemeClr w14:val="tx1"/>
            </w14:solidFill>
          </w14:textFill>
        </w:rPr>
        <w:t>废边角料、废包装材料、废切削液、切削液废包装桶和生活垃圾等</w:t>
      </w:r>
      <w:r>
        <w:rPr>
          <w:rFonts w:ascii="仿宋" w:hAnsi="仿宋" w:eastAsia="仿宋"/>
          <w:color w:val="000000" w:themeColor="text1"/>
          <w:sz w:val="28"/>
          <w:szCs w:val="28"/>
          <w14:textFill>
            <w14:solidFill>
              <w14:schemeClr w14:val="tx1"/>
            </w14:solidFill>
          </w14:textFill>
        </w:rPr>
        <w:t>。</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废边角料和废包装材料收集后外售综合利用；废切削液、切削液废包装桶属危险废物，其中废切削液收集后在厂区机器内循环回用，切削液废包装桶由厂家回收，循环使用，若产生破损则委托有资质的单位处置；收集的粉尘与生活垃圾由当地环卫部门统一清运处置。</w:t>
      </w:r>
    </w:p>
    <w:p>
      <w:pPr>
        <w:spacing w:line="560" w:lineRule="exact"/>
        <w:ind w:firstLine="562"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环境保护设施果和工程建设对环境的影响</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杭州天量检测科技有限公司于</w:t>
      </w:r>
      <w:r>
        <w:rPr>
          <w:rFonts w:ascii="仿宋" w:hAnsi="仿宋" w:eastAsia="仿宋"/>
          <w:color w:val="000000" w:themeColor="text1"/>
          <w:sz w:val="28"/>
          <w:szCs w:val="28"/>
          <w14:textFill>
            <w14:solidFill>
              <w14:schemeClr w14:val="tx1"/>
            </w14:solidFill>
          </w14:textFill>
        </w:rPr>
        <w:t>2021年3月10</w:t>
      </w:r>
      <w:r>
        <w:rPr>
          <w:rFonts w:hint="eastAsia" w:ascii="仿宋" w:hAnsi="仿宋" w:eastAsia="仿宋"/>
          <w:color w:val="000000" w:themeColor="text1"/>
          <w:sz w:val="28"/>
          <w:szCs w:val="28"/>
          <w14:textFill>
            <w14:solidFill>
              <w14:schemeClr w14:val="tx1"/>
            </w14:solidFill>
          </w14:textFill>
        </w:rPr>
        <w:t>日</w:t>
      </w:r>
      <w:r>
        <w:rPr>
          <w:rFonts w:ascii="仿宋" w:hAnsi="仿宋" w:eastAsia="仿宋"/>
          <w:color w:val="000000" w:themeColor="text1"/>
          <w:sz w:val="28"/>
          <w:szCs w:val="28"/>
          <w14:textFill>
            <w14:solidFill>
              <w14:schemeClr w14:val="tx1"/>
            </w14:solidFill>
          </w14:textFill>
        </w:rPr>
        <w:t>、11日在</w:t>
      </w:r>
      <w:r>
        <w:rPr>
          <w:rFonts w:hint="eastAsia" w:ascii="仿宋" w:hAnsi="仿宋" w:eastAsia="仿宋"/>
          <w:color w:val="000000" w:themeColor="text1"/>
          <w:sz w:val="28"/>
          <w:szCs w:val="28"/>
          <w14:textFill>
            <w14:solidFill>
              <w14:schemeClr w14:val="tx1"/>
            </w14:solidFill>
          </w14:textFill>
        </w:rPr>
        <w:t>温州钛克科技有限公司年产2000台升降设备、6000台照明设备建设项目</w:t>
      </w:r>
      <w:r>
        <w:rPr>
          <w:rFonts w:ascii="仿宋" w:hAnsi="仿宋" w:eastAsia="仿宋"/>
          <w:color w:val="000000" w:themeColor="text1"/>
          <w:sz w:val="28"/>
          <w:szCs w:val="28"/>
          <w14:textFill>
            <w14:solidFill>
              <w14:schemeClr w14:val="tx1"/>
            </w14:solidFill>
          </w14:textFill>
        </w:rPr>
        <w:t>正常生产的情况下，组织对项目进行现场监测</w:t>
      </w:r>
      <w:r>
        <w:rPr>
          <w:rFonts w:hint="eastAsia" w:ascii="仿宋" w:hAnsi="仿宋" w:eastAsia="仿宋"/>
          <w:color w:val="000000" w:themeColor="text1"/>
          <w:sz w:val="28"/>
          <w:szCs w:val="28"/>
          <w14:textFill>
            <w14:solidFill>
              <w14:schemeClr w14:val="tx1"/>
            </w14:solidFill>
          </w14:textFill>
        </w:rPr>
        <w:t>。监测期间项目生产工况正常，主要生产设备均投入使用，生产负荷达到设计生产能力的75%以上，环境保护设施运行正常，满足验收监测的要求。</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（一）污染物达标排放情况</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（1）废水</w:t>
      </w:r>
    </w:p>
    <w:p>
      <w:pPr>
        <w:spacing w:before="62" w:beforeLines="20"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验收监测结果表明，</w:t>
      </w:r>
      <w:r>
        <w:rPr>
          <w:rFonts w:ascii="仿宋" w:hAnsi="仿宋" w:eastAsia="仿宋" w:cs="仿宋"/>
          <w:color w:val="000000" w:themeColor="text1"/>
          <w:sz w:val="28"/>
          <w:szCs w:val="28"/>
          <w14:textFill>
            <w14:solidFill>
              <w14:schemeClr w14:val="tx1"/>
            </w14:solidFill>
          </w14:textFill>
        </w:rPr>
        <w:t>在监测日工况条件下</w:t>
      </w:r>
      <w:r>
        <w:rPr>
          <w:rFonts w:hint="eastAsia" w:ascii="仿宋" w:hAnsi="仿宋" w:eastAsia="仿宋" w:cs="仿宋"/>
          <w:color w:val="000000" w:themeColor="text1"/>
          <w:sz w:val="28"/>
          <w:szCs w:val="28"/>
          <w14:textFill>
            <w14:solidFill>
              <w14:schemeClr w14:val="tx1"/>
            </w14:solidFill>
          </w14:textFill>
        </w:rPr>
        <w:t>，项目生活污水排放口排放</w:t>
      </w:r>
      <w:r>
        <w:rPr>
          <w:rFonts w:ascii="仿宋" w:hAnsi="仿宋" w:eastAsia="仿宋" w:cs="仿宋"/>
          <w:color w:val="000000" w:themeColor="text1"/>
          <w:sz w:val="28"/>
          <w:szCs w:val="28"/>
          <w14:textFill>
            <w14:solidFill>
              <w14:schemeClr w14:val="tx1"/>
            </w14:solidFill>
          </w14:textFill>
        </w:rPr>
        <w:t>的化学需氧量浓度</w:t>
      </w:r>
      <w:r>
        <w:rPr>
          <w:rFonts w:hint="eastAsia" w:ascii="仿宋" w:hAnsi="仿宋" w:eastAsia="仿宋" w:cs="仿宋"/>
          <w:color w:val="000000" w:themeColor="text1"/>
          <w:sz w:val="28"/>
          <w:szCs w:val="28"/>
          <w14:textFill>
            <w14:solidFill>
              <w14:schemeClr w14:val="tx1"/>
            </w14:solidFill>
          </w14:textFill>
        </w:rPr>
        <w:t>及其日均值</w:t>
      </w:r>
      <w:r>
        <w:rPr>
          <w:rFonts w:ascii="仿宋" w:hAnsi="仿宋" w:eastAsia="仿宋" w:cs="仿宋"/>
          <w:color w:val="000000" w:themeColor="text1"/>
          <w:sz w:val="28"/>
          <w:szCs w:val="28"/>
          <w14:textFill>
            <w14:solidFill>
              <w14:schemeClr w14:val="tx1"/>
            </w14:solidFill>
          </w14:textFill>
        </w:rPr>
        <w:t>均符合《污水综合排放标准》（GB8978-1996）中的</w:t>
      </w:r>
      <w:r>
        <w:rPr>
          <w:rFonts w:hint="eastAsia" w:ascii="仿宋" w:hAnsi="仿宋" w:eastAsia="仿宋" w:cs="仿宋"/>
          <w:color w:val="000000" w:themeColor="text1"/>
          <w:sz w:val="28"/>
          <w:szCs w:val="28"/>
          <w14:textFill>
            <w14:solidFill>
              <w14:schemeClr w14:val="tx1"/>
            </w14:solidFill>
          </w14:textFill>
        </w:rPr>
        <w:t>三级</w:t>
      </w:r>
      <w:r>
        <w:rPr>
          <w:rFonts w:ascii="仿宋" w:hAnsi="仿宋" w:eastAsia="仿宋" w:cs="仿宋"/>
          <w:color w:val="000000" w:themeColor="text1"/>
          <w:sz w:val="28"/>
          <w:szCs w:val="28"/>
          <w14:textFill>
            <w14:solidFill>
              <w14:schemeClr w14:val="tx1"/>
            </w14:solidFill>
          </w14:textFill>
        </w:rPr>
        <w:t>标准限值</w:t>
      </w:r>
      <w:r>
        <w:rPr>
          <w:rFonts w:hint="eastAsia" w:ascii="仿宋" w:hAnsi="仿宋" w:eastAsia="仿宋" w:cs="仿宋"/>
          <w:color w:val="000000" w:themeColor="text1"/>
          <w:sz w:val="28"/>
          <w:szCs w:val="28"/>
          <w14:textFill>
            <w14:solidFill>
              <w14:schemeClr w14:val="tx1"/>
            </w14:solidFill>
          </w14:textFill>
        </w:rPr>
        <w:t>要求；</w:t>
      </w:r>
      <w:r>
        <w:rPr>
          <w:rFonts w:ascii="仿宋" w:hAnsi="仿宋" w:eastAsia="仿宋" w:cs="仿宋"/>
          <w:color w:val="000000" w:themeColor="text1"/>
          <w:sz w:val="28"/>
          <w:szCs w:val="28"/>
          <w14:textFill>
            <w14:solidFill>
              <w14:schemeClr w14:val="tx1"/>
            </w14:solidFill>
          </w14:textFill>
        </w:rPr>
        <w:t>氨氮浓度均符合</w:t>
      </w:r>
      <w:r>
        <w:rPr>
          <w:rFonts w:hint="eastAsia" w:ascii="仿宋" w:hAnsi="仿宋" w:eastAsia="仿宋" w:cs="仿宋"/>
          <w:color w:val="000000" w:themeColor="text1"/>
          <w:sz w:val="28"/>
          <w:szCs w:val="28"/>
          <w14:textFill>
            <w14:solidFill>
              <w14:schemeClr w14:val="tx1"/>
            </w14:solidFill>
          </w14:textFill>
        </w:rPr>
        <w:t>《工业企业废水氮、磷污染物间接排放限值》（DB33/887—2013）中的间接排放限值要求；总氮浓度符合《污水排入城镇下水道水质标准》（GB/T 31962-2015）中表1中B级限值要求。</w:t>
      </w:r>
    </w:p>
    <w:p>
      <w:pPr>
        <w:autoSpaceDE w:val="0"/>
        <w:autoSpaceDN w:val="0"/>
        <w:spacing w:line="360" w:lineRule="auto"/>
        <w:ind w:firstLine="560" w:firstLineChars="200"/>
        <w:outlineLvl w:val="3"/>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）废气</w:t>
      </w:r>
    </w:p>
    <w:p>
      <w:pPr>
        <w:autoSpaceDE w:val="0"/>
        <w:autoSpaceDN w:val="0"/>
        <w:spacing w:line="360" w:lineRule="auto"/>
        <w:ind w:firstLine="560" w:firstLineChars="200"/>
        <w:outlineLvl w:val="3"/>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验收监测结果表明，</w:t>
      </w:r>
      <w:r>
        <w:rPr>
          <w:rFonts w:ascii="仿宋" w:hAnsi="仿宋" w:eastAsia="仿宋" w:cs="仿宋"/>
          <w:color w:val="000000" w:themeColor="text1"/>
          <w:sz w:val="28"/>
          <w:szCs w:val="28"/>
          <w14:textFill>
            <w14:solidFill>
              <w14:schemeClr w14:val="tx1"/>
            </w14:solidFill>
          </w14:textFill>
        </w:rPr>
        <w:t>在监测日工况条件下</w:t>
      </w:r>
      <w:r>
        <w:rPr>
          <w:rFonts w:hint="eastAsia" w:ascii="仿宋" w:hAnsi="仿宋" w:eastAsia="仿宋" w:cs="仿宋"/>
          <w:color w:val="000000" w:themeColor="text1"/>
          <w:sz w:val="28"/>
          <w:szCs w:val="28"/>
          <w14:textFill>
            <w14:solidFill>
              <w14:schemeClr w14:val="tx1"/>
            </w14:solidFill>
          </w14:textFill>
        </w:rPr>
        <w:t>，温州钛克科技有限公司厂界无组织排放的总悬浮颗粒物浓度最大值符合《大气污染物综合排放标准》（GB16297-1996）中新污染源标准限值要求。</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）噪声</w:t>
      </w:r>
    </w:p>
    <w:p>
      <w:pPr>
        <w:spacing w:before="62" w:beforeLines="20"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验收监测结果表明，</w:t>
      </w:r>
      <w:r>
        <w:rPr>
          <w:rFonts w:ascii="仿宋" w:hAnsi="仿宋" w:eastAsia="仿宋" w:cs="仿宋"/>
          <w:color w:val="000000" w:themeColor="text1"/>
          <w:sz w:val="28"/>
          <w:szCs w:val="28"/>
          <w14:textFill>
            <w14:solidFill>
              <w14:schemeClr w14:val="tx1"/>
            </w14:solidFill>
          </w14:textFill>
        </w:rPr>
        <w:t>在监测日工况条件下</w:t>
      </w:r>
      <w:r>
        <w:rPr>
          <w:rFonts w:hint="eastAsia" w:ascii="仿宋" w:hAnsi="仿宋" w:eastAsia="仿宋" w:cs="仿宋"/>
          <w:color w:val="000000" w:themeColor="text1"/>
          <w:sz w:val="28"/>
          <w:szCs w:val="28"/>
          <w14:textFill>
            <w14:solidFill>
              <w14:schemeClr w14:val="tx1"/>
            </w14:solidFill>
          </w14:textFill>
        </w:rPr>
        <w:t>，项目</w:t>
      </w:r>
      <w:r>
        <w:rPr>
          <w:rFonts w:ascii="仿宋" w:hAnsi="仿宋" w:eastAsia="仿宋" w:cs="仿宋"/>
          <w:color w:val="000000" w:themeColor="text1"/>
          <w:sz w:val="28"/>
          <w:szCs w:val="28"/>
          <w14:textFill>
            <w14:solidFill>
              <w14:schemeClr w14:val="tx1"/>
            </w14:solidFill>
          </w14:textFill>
        </w:rPr>
        <w:t>厂界</w:t>
      </w:r>
      <w:r>
        <w:rPr>
          <w:rFonts w:hint="eastAsia" w:ascii="仿宋" w:hAnsi="仿宋" w:eastAsia="仿宋" w:cs="仿宋"/>
          <w:color w:val="000000" w:themeColor="text1"/>
          <w:sz w:val="28"/>
          <w:szCs w:val="28"/>
          <w14:textFill>
            <w14:solidFill>
              <w14:schemeClr w14:val="tx1"/>
            </w14:solidFill>
          </w14:textFill>
        </w:rPr>
        <w:t>东、南、西、北侧4个测</w:t>
      </w:r>
      <w:r>
        <w:rPr>
          <w:rFonts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14:textFill>
            <w14:solidFill>
              <w14:schemeClr w14:val="tx1"/>
            </w14:solidFill>
          </w14:textFill>
        </w:rPr>
        <w:t>的</w:t>
      </w:r>
      <w:r>
        <w:rPr>
          <w:rFonts w:ascii="仿宋" w:hAnsi="仿宋" w:eastAsia="仿宋" w:cs="仿宋"/>
          <w:color w:val="000000" w:themeColor="text1"/>
          <w:sz w:val="28"/>
          <w:szCs w:val="28"/>
          <w14:textFill>
            <w14:solidFill>
              <w14:schemeClr w14:val="tx1"/>
            </w14:solidFill>
          </w14:textFill>
        </w:rPr>
        <w:t>厂界环境噪声</w:t>
      </w:r>
      <w:r>
        <w:rPr>
          <w:rFonts w:hint="eastAsia" w:ascii="仿宋" w:hAnsi="仿宋" w:eastAsia="仿宋" w:cs="仿宋"/>
          <w:color w:val="000000" w:themeColor="text1"/>
          <w:sz w:val="28"/>
          <w:szCs w:val="28"/>
          <w14:textFill>
            <w14:solidFill>
              <w14:schemeClr w14:val="tx1"/>
            </w14:solidFill>
          </w14:textFill>
        </w:rPr>
        <w:t>监测结果均</w:t>
      </w:r>
      <w:r>
        <w:rPr>
          <w:rFonts w:ascii="仿宋" w:hAnsi="仿宋" w:eastAsia="仿宋" w:cs="仿宋"/>
          <w:color w:val="000000" w:themeColor="text1"/>
          <w:sz w:val="28"/>
          <w:szCs w:val="28"/>
          <w14:textFill>
            <w14:solidFill>
              <w14:schemeClr w14:val="tx1"/>
            </w14:solidFill>
          </w14:textFill>
        </w:rPr>
        <w:t>符合《工业企业厂界环境噪声排放标准》（GB12348-2008）2类标准</w:t>
      </w:r>
      <w:r>
        <w:rPr>
          <w:rFonts w:hint="eastAsia" w:ascii="仿宋" w:hAnsi="仿宋" w:eastAsia="仿宋" w:cs="仿宋"/>
          <w:color w:val="000000" w:themeColor="text1"/>
          <w:sz w:val="28"/>
          <w:szCs w:val="28"/>
          <w14:textFill>
            <w14:solidFill>
              <w14:schemeClr w14:val="tx1"/>
            </w14:solidFill>
          </w14:textFill>
        </w:rPr>
        <w:t>限值要求。</w:t>
      </w:r>
    </w:p>
    <w:p>
      <w:pPr>
        <w:spacing w:before="62" w:beforeLines="20"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固体废弃物</w:t>
      </w:r>
    </w:p>
    <w:p>
      <w:pPr>
        <w:spacing w:before="62" w:beforeLines="20"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项目一般固废均已按要求妥善处理，危废仓库有待规范建设。若产生废切削液、切削液废包装桶，应及时委托有资质的单位进行处置。</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（二）污染物排放总量</w:t>
      </w:r>
    </w:p>
    <w:p>
      <w:pPr>
        <w:spacing w:before="62" w:beforeLines="20"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w:t>
      </w:r>
      <w:r>
        <w:rPr>
          <w:rFonts w:ascii="仿宋" w:hAnsi="仿宋" w:eastAsia="仿宋" w:cs="仿宋"/>
          <w:color w:val="000000" w:themeColor="text1"/>
          <w:sz w:val="28"/>
          <w:szCs w:val="28"/>
          <w14:textFill>
            <w14:solidFill>
              <w14:schemeClr w14:val="tx1"/>
            </w14:solidFill>
          </w14:textFill>
        </w:rPr>
        <w:t>企业提供的数据</w:t>
      </w:r>
      <w:r>
        <w:rPr>
          <w:rFonts w:hint="eastAsia" w:ascii="仿宋" w:hAnsi="仿宋" w:eastAsia="仿宋" w:cs="仿宋"/>
          <w:color w:val="000000" w:themeColor="text1"/>
          <w:sz w:val="28"/>
          <w:szCs w:val="28"/>
          <w14:textFill>
            <w14:solidFill>
              <w14:schemeClr w14:val="tx1"/>
            </w14:solidFill>
          </w14:textFill>
        </w:rPr>
        <w:t>与监测</w:t>
      </w:r>
      <w:r>
        <w:rPr>
          <w:rFonts w:ascii="仿宋" w:hAnsi="仿宋" w:eastAsia="仿宋" w:cs="仿宋"/>
          <w:color w:val="000000" w:themeColor="text1"/>
          <w:sz w:val="28"/>
          <w:szCs w:val="28"/>
          <w14:textFill>
            <w14:solidFill>
              <w14:schemeClr w14:val="tx1"/>
            </w14:solidFill>
          </w14:textFill>
        </w:rPr>
        <w:t>结果</w:t>
      </w:r>
      <w:r>
        <w:rPr>
          <w:rFonts w:hint="eastAsia" w:ascii="仿宋" w:hAnsi="仿宋" w:eastAsia="仿宋" w:cs="仿宋"/>
          <w:color w:val="000000" w:themeColor="text1"/>
          <w:sz w:val="28"/>
          <w:szCs w:val="28"/>
          <w14:textFill>
            <w14:solidFill>
              <w14:schemeClr w14:val="tx1"/>
            </w14:solidFill>
          </w14:textFill>
        </w:rPr>
        <w:t>计算</w:t>
      </w:r>
      <w:r>
        <w:rPr>
          <w:rFonts w:ascii="仿宋" w:hAnsi="仿宋" w:eastAsia="仿宋" w:cs="仿宋"/>
          <w:color w:val="000000" w:themeColor="text1"/>
          <w:sz w:val="28"/>
          <w:szCs w:val="28"/>
          <w14:textFill>
            <w14:solidFill>
              <w14:schemeClr w14:val="tx1"/>
            </w14:solidFill>
          </w14:textFill>
        </w:rPr>
        <w:t>，该项目</w:t>
      </w:r>
      <w:r>
        <w:rPr>
          <w:rFonts w:hint="eastAsia" w:ascii="仿宋" w:hAnsi="仿宋" w:eastAsia="仿宋" w:cs="仿宋"/>
          <w:color w:val="000000" w:themeColor="text1"/>
          <w:sz w:val="28"/>
          <w:szCs w:val="28"/>
          <w14:textFill>
            <w14:solidFill>
              <w14:schemeClr w14:val="tx1"/>
            </w14:solidFill>
          </w14:textFill>
        </w:rPr>
        <w:t>实际年排放</w:t>
      </w:r>
      <w:r>
        <w:rPr>
          <w:rFonts w:ascii="仿宋" w:hAnsi="仿宋" w:eastAsia="仿宋" w:cs="仿宋"/>
          <w:color w:val="000000" w:themeColor="text1"/>
          <w:sz w:val="28"/>
          <w:szCs w:val="28"/>
          <w14:textFill>
            <w14:solidFill>
              <w14:schemeClr w14:val="tx1"/>
            </w14:solidFill>
          </w14:textFill>
        </w:rPr>
        <w:t>化学需氧量</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氨氮</w:t>
      </w:r>
      <w:r>
        <w:rPr>
          <w:rFonts w:hint="eastAsia" w:ascii="仿宋" w:hAnsi="仿宋" w:eastAsia="仿宋" w:cs="仿宋"/>
          <w:color w:val="000000" w:themeColor="text1"/>
          <w:sz w:val="28"/>
          <w:szCs w:val="28"/>
          <w14:textFill>
            <w14:solidFill>
              <w14:schemeClr w14:val="tx1"/>
            </w14:solidFill>
          </w14:textFill>
        </w:rPr>
        <w:t>总量，均</w:t>
      </w:r>
      <w:r>
        <w:rPr>
          <w:rFonts w:ascii="仿宋" w:hAnsi="仿宋" w:eastAsia="仿宋" w:cs="仿宋"/>
          <w:color w:val="000000" w:themeColor="text1"/>
          <w:sz w:val="28"/>
          <w:szCs w:val="28"/>
          <w14:textFill>
            <w14:solidFill>
              <w14:schemeClr w14:val="tx1"/>
            </w14:solidFill>
          </w14:textFill>
        </w:rPr>
        <w:t>符合环评</w:t>
      </w:r>
      <w:r>
        <w:rPr>
          <w:rFonts w:hint="eastAsia" w:ascii="仿宋" w:hAnsi="仿宋" w:eastAsia="仿宋" w:cs="仿宋"/>
          <w:color w:val="000000" w:themeColor="text1"/>
          <w:sz w:val="28"/>
          <w:szCs w:val="28"/>
          <w14:textFill>
            <w14:solidFill>
              <w14:schemeClr w14:val="tx1"/>
            </w14:solidFill>
          </w14:textFill>
        </w:rPr>
        <w:t>提出的</w:t>
      </w:r>
      <w:r>
        <w:rPr>
          <w:rFonts w:ascii="仿宋" w:hAnsi="仿宋" w:eastAsia="仿宋" w:cs="仿宋"/>
          <w:color w:val="000000" w:themeColor="text1"/>
          <w:sz w:val="28"/>
          <w:szCs w:val="28"/>
          <w14:textFill>
            <w14:solidFill>
              <w14:schemeClr w14:val="tx1"/>
            </w14:solidFill>
          </w14:textFill>
        </w:rPr>
        <w:t>总量控制要求。</w:t>
      </w:r>
    </w:p>
    <w:p>
      <w:pPr>
        <w:spacing w:line="56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五、验收结</w:t>
      </w:r>
      <w:r>
        <w:rPr>
          <w:rFonts w:hint="eastAsia" w:ascii="仿宋" w:hAnsi="仿宋" w:eastAsia="仿宋" w:cs="宋体"/>
          <w:b/>
          <w:color w:val="000000" w:themeColor="text1"/>
          <w:sz w:val="28"/>
          <w:szCs w:val="28"/>
          <w14:textFill>
            <w14:solidFill>
              <w14:schemeClr w14:val="tx1"/>
            </w14:solidFill>
          </w14:textFill>
        </w:rPr>
        <w:t>论</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经资料查阅和现场查验，</w:t>
      </w:r>
      <w:r>
        <w:rPr>
          <w:rFonts w:hint="eastAsia" w:ascii="仿宋" w:hAnsi="仿宋" w:eastAsia="仿宋" w:cs="仿宋"/>
          <w:color w:val="000000" w:themeColor="text1"/>
          <w:sz w:val="28"/>
          <w:szCs w:val="28"/>
          <w14:textFill>
            <w14:solidFill>
              <w14:schemeClr w14:val="tx1"/>
            </w14:solidFill>
          </w14:textFill>
        </w:rPr>
        <w:t>温州钛克科技有限公司年产2000台升降设备、6000台照明设备建设项目</w:t>
      </w:r>
      <w:r>
        <w:rPr>
          <w:rFonts w:hint="eastAsia" w:ascii="仿宋" w:hAnsi="仿宋" w:eastAsia="仿宋"/>
          <w:color w:val="000000" w:themeColor="text1"/>
          <w:sz w:val="28"/>
          <w:szCs w:val="28"/>
          <w14:textFill>
            <w14:solidFill>
              <w14:schemeClr w14:val="tx1"/>
            </w14:solidFill>
          </w14:textFill>
        </w:rPr>
        <w:t>技术资料齐全，环</w:t>
      </w:r>
      <w:r>
        <w:rPr>
          <w:rFonts w:ascii="仿宋" w:hAnsi="仿宋" w:eastAsia="仿宋"/>
          <w:color w:val="000000" w:themeColor="text1"/>
          <w:sz w:val="28"/>
          <w:szCs w:val="28"/>
          <w14:textFill>
            <w14:solidFill>
              <w14:schemeClr w14:val="tx1"/>
            </w14:solidFill>
          </w14:textFill>
        </w:rPr>
        <w:t>境保护设施按环境影响</w:t>
      </w:r>
      <w:r>
        <w:rPr>
          <w:rFonts w:hint="eastAsia" w:ascii="仿宋" w:hAnsi="仿宋" w:eastAsia="仿宋"/>
          <w:color w:val="000000" w:themeColor="text1"/>
          <w:sz w:val="28"/>
          <w:szCs w:val="28"/>
          <w14:textFill>
            <w14:solidFill>
              <w14:schemeClr w14:val="tx1"/>
            </w14:solidFill>
          </w14:textFill>
        </w:rPr>
        <w:t>报告表的要求建成，环境保护设施经查验合格，各项污染物均能达标排放并满足总量控制的要求</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防治污染能力基本适应主体工程的需要，具备环境保护设施正常运转的条件。经审议，验收工作组认为待规范建设危废暂存场所，该建设项目可通过环境保护设施竣工验收。</w:t>
      </w:r>
    </w:p>
    <w:p>
      <w:pPr>
        <w:spacing w:line="5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六、验收</w:t>
      </w:r>
      <w:r>
        <w:rPr>
          <w:rFonts w:hint="eastAsia" w:ascii="仿宋" w:hAnsi="仿宋" w:eastAsia="仿宋" w:cs="宋体"/>
          <w:b/>
          <w:color w:val="000000" w:themeColor="text1"/>
          <w:sz w:val="28"/>
          <w:szCs w:val="28"/>
          <w14:textFill>
            <w14:solidFill>
              <w14:schemeClr w14:val="tx1"/>
            </w14:solidFill>
          </w14:textFill>
        </w:rPr>
        <w:t>存</w:t>
      </w:r>
      <w:r>
        <w:rPr>
          <w:rFonts w:hint="eastAsia" w:ascii="仿宋" w:hAnsi="仿宋" w:eastAsia="仿宋"/>
          <w:b/>
          <w:color w:val="000000" w:themeColor="text1"/>
          <w:sz w:val="28"/>
          <w:szCs w:val="28"/>
          <w14:textFill>
            <w14:solidFill>
              <w14:schemeClr w14:val="tx1"/>
            </w14:solidFill>
          </w14:textFill>
        </w:rPr>
        <w:t>在的主要问题及后续要求</w:t>
      </w:r>
    </w:p>
    <w:p>
      <w:pPr>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1、依照有关验收技术规范，完善竣工验收监测报告相关内容。及时公开环境信息，公示竣工验收监测报告和验收意见。</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加强车间环境管理，保持整洁环境，继续完善各类环保管理制度，将环保责任落实到人。</w:t>
      </w:r>
      <w:r>
        <w:rPr>
          <w:rFonts w:hint="eastAsia" w:ascii="仿宋_GB2312" w:hAnsi="仿宋_GB2312" w:eastAsia="仿宋_GB2312" w:cs="仿宋_GB2312"/>
          <w:color w:val="000000" w:themeColor="text1"/>
          <w:sz w:val="28"/>
          <w:szCs w:val="28"/>
          <w14:textFill>
            <w14:solidFill>
              <w14:schemeClr w14:val="tx1"/>
            </w14:solidFill>
          </w14:textFill>
        </w:rPr>
        <w:t>加强乳化液的收集，定期对收集托盘的完整性进行检查，减少乳化液等危废的跑冒滴漏。</w:t>
      </w:r>
    </w:p>
    <w:p>
      <w:pPr>
        <w:pStyle w:val="21"/>
        <w:snapToGrid w:val="0"/>
        <w:spacing w:line="56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、进一步加强危险废物的管理，规范建设危险废物暂存场所并健全危废转运台帐记录。若产生废切削液、切削液废包装桶等危废。应及时委托有资质的单位进行处置</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确保对各类危险废物进行有效的管理及处置。</w:t>
      </w:r>
    </w:p>
    <w:p>
      <w:pPr>
        <w:pStyle w:val="21"/>
        <w:snapToGrid w:val="0"/>
        <w:spacing w:line="56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加强运行检测，按照《排污单位自行监测技术指南 总则》（HJ 819-2017）等开展自行监测，一旦发现问题，立即采取有效措施，确保污染物达标排放。</w:t>
      </w:r>
    </w:p>
    <w:p>
      <w:pPr>
        <w:spacing w:line="5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七、验收人员信息</w:t>
      </w:r>
    </w:p>
    <w:p>
      <w:pPr>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验收人员信息详见签到单。</w:t>
      </w:r>
    </w:p>
    <w:p>
      <w:pPr>
        <w:spacing w:line="5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验收成员签字：</w:t>
      </w:r>
    </w:p>
    <w:p>
      <w:pPr>
        <w:spacing w:line="560" w:lineRule="exact"/>
        <w:rPr>
          <w:rFonts w:ascii="仿宋" w:hAnsi="仿宋" w:eastAsia="仿宋"/>
          <w:b/>
          <w:bCs/>
          <w:color w:val="000000" w:themeColor="text1"/>
          <w:sz w:val="28"/>
          <w:szCs w:val="28"/>
          <w14:textFill>
            <w14:solidFill>
              <w14:schemeClr w14:val="tx1"/>
            </w14:solidFill>
          </w14:textFill>
        </w:rPr>
      </w:pPr>
    </w:p>
    <w:p>
      <w:pPr>
        <w:spacing w:line="560" w:lineRule="exact"/>
        <w:rPr>
          <w:rFonts w:ascii="仿宋" w:hAnsi="仿宋" w:eastAsia="仿宋"/>
          <w:b/>
          <w:bCs/>
          <w:color w:val="000000" w:themeColor="text1"/>
          <w:sz w:val="28"/>
          <w:szCs w:val="28"/>
          <w14:textFill>
            <w14:solidFill>
              <w14:schemeClr w14:val="tx1"/>
            </w14:solidFill>
          </w14:textFill>
        </w:rPr>
      </w:pPr>
    </w:p>
    <w:p>
      <w:pPr>
        <w:spacing w:line="560" w:lineRule="exact"/>
        <w:rPr>
          <w:rFonts w:ascii="仿宋" w:hAnsi="仿宋" w:eastAsia="仿宋"/>
          <w:b/>
          <w:bCs/>
          <w:color w:val="000000" w:themeColor="text1"/>
          <w:sz w:val="28"/>
          <w:szCs w:val="28"/>
          <w14:textFill>
            <w14:solidFill>
              <w14:schemeClr w14:val="tx1"/>
            </w14:solidFill>
          </w14:textFill>
        </w:rPr>
      </w:pPr>
    </w:p>
    <w:p>
      <w:pPr>
        <w:spacing w:line="560" w:lineRule="exact"/>
        <w:rPr>
          <w:rFonts w:ascii="仿宋" w:hAnsi="仿宋" w:eastAsia="仿宋"/>
          <w:b/>
          <w:bCs/>
          <w:color w:val="000000" w:themeColor="text1"/>
          <w:sz w:val="28"/>
          <w:szCs w:val="28"/>
          <w14:textFill>
            <w14:solidFill>
              <w14:schemeClr w14:val="tx1"/>
            </w14:solidFill>
          </w14:textFill>
        </w:rPr>
      </w:pPr>
    </w:p>
    <w:p>
      <w:pPr>
        <w:spacing w:line="560" w:lineRule="exact"/>
        <w:rPr>
          <w:rFonts w:hint="eastAsia" w:ascii="仿宋" w:hAnsi="仿宋" w:eastAsia="仿宋"/>
          <w:b/>
          <w:bCs/>
          <w:color w:val="000000" w:themeColor="text1"/>
          <w:sz w:val="28"/>
          <w:szCs w:val="28"/>
          <w14:textFill>
            <w14:solidFill>
              <w14:schemeClr w14:val="tx1"/>
            </w14:solidFill>
          </w14:textFill>
        </w:rPr>
      </w:pPr>
    </w:p>
    <w:p>
      <w:pPr>
        <w:spacing w:line="560" w:lineRule="exact"/>
        <w:rPr>
          <w:rFonts w:ascii="仿宋" w:hAnsi="仿宋" w:eastAsia="仿宋"/>
          <w:b/>
          <w:bCs/>
          <w:color w:val="000000" w:themeColor="text1"/>
          <w:sz w:val="28"/>
          <w:szCs w:val="28"/>
          <w14:textFill>
            <w14:solidFill>
              <w14:schemeClr w14:val="tx1"/>
            </w14:solidFill>
          </w14:textFill>
        </w:rPr>
      </w:pPr>
    </w:p>
    <w:p>
      <w:pPr>
        <w:spacing w:line="560" w:lineRule="exact"/>
        <w:rPr>
          <w:rFonts w:ascii="仿宋" w:hAnsi="仿宋" w:eastAsia="仿宋"/>
          <w:b/>
          <w:bCs/>
          <w:color w:val="000000" w:themeColor="text1"/>
          <w:sz w:val="28"/>
          <w:szCs w:val="28"/>
          <w14:textFill>
            <w14:solidFill>
              <w14:schemeClr w14:val="tx1"/>
            </w14:solidFill>
          </w14:textFill>
        </w:rPr>
      </w:pPr>
    </w:p>
    <w:p>
      <w:pPr>
        <w:spacing w:line="560" w:lineRule="exact"/>
        <w:ind w:firstLine="562" w:firstLineChars="200"/>
        <w:jc w:val="righ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温州钛克科技有限公司</w:t>
      </w:r>
    </w:p>
    <w:p>
      <w:pPr>
        <w:spacing w:line="560" w:lineRule="exact"/>
        <w:ind w:firstLine="562" w:firstLineChars="200"/>
        <w:jc w:val="right"/>
        <w:rPr>
          <w:rFonts w:ascii="仿宋" w:hAnsi="仿宋" w:eastAsia="仿宋" w:cs="仿宋"/>
          <w:b/>
          <w:color w:val="000000" w:themeColor="text1"/>
          <w:sz w:val="28"/>
          <w:szCs w:val="28"/>
          <w14:textFill>
            <w14:solidFill>
              <w14:schemeClr w14:val="tx1"/>
            </w14:solidFill>
          </w14:textFill>
        </w:rPr>
      </w:pPr>
      <w:r>
        <w:rPr>
          <w:rFonts w:ascii="仿宋" w:hAnsi="仿宋" w:eastAsia="仿宋" w:cs="仿宋"/>
          <w:b/>
          <w:color w:val="000000" w:themeColor="text1"/>
          <w:sz w:val="28"/>
          <w:szCs w:val="28"/>
          <w14:textFill>
            <w14:solidFill>
              <w14:schemeClr w14:val="tx1"/>
            </w14:solidFill>
          </w14:textFill>
        </w:rPr>
        <w:t>2021年4月5日</w:t>
      </w:r>
    </w:p>
    <w:p>
      <w:pPr>
        <w:rPr>
          <w:rFonts w:ascii="仿宋" w:hAnsi="仿宋" w:eastAsia="仿宋"/>
          <w:color w:val="000000" w:themeColor="text1"/>
          <w:sz w:val="28"/>
          <w:szCs w:val="28"/>
          <w14:textFill>
            <w14:solidFill>
              <w14:schemeClr w14:val="tx1"/>
            </w14:solidFill>
          </w14:textFill>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3695333"/>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83"/>
    <w:rsid w:val="00001D89"/>
    <w:rsid w:val="000118E0"/>
    <w:rsid w:val="00016774"/>
    <w:rsid w:val="000341DE"/>
    <w:rsid w:val="0006337C"/>
    <w:rsid w:val="000874BE"/>
    <w:rsid w:val="000F01CA"/>
    <w:rsid w:val="00133DD2"/>
    <w:rsid w:val="001A3011"/>
    <w:rsid w:val="002660CC"/>
    <w:rsid w:val="002669E7"/>
    <w:rsid w:val="00267E9E"/>
    <w:rsid w:val="002E2353"/>
    <w:rsid w:val="003046F8"/>
    <w:rsid w:val="003118C6"/>
    <w:rsid w:val="003A2CFB"/>
    <w:rsid w:val="003D0BF9"/>
    <w:rsid w:val="003F170A"/>
    <w:rsid w:val="004358A8"/>
    <w:rsid w:val="00436085"/>
    <w:rsid w:val="0049525C"/>
    <w:rsid w:val="004B1076"/>
    <w:rsid w:val="005411CD"/>
    <w:rsid w:val="00567C81"/>
    <w:rsid w:val="005C1B5B"/>
    <w:rsid w:val="005C3E8E"/>
    <w:rsid w:val="00654850"/>
    <w:rsid w:val="006957EA"/>
    <w:rsid w:val="006A2CF4"/>
    <w:rsid w:val="006C0FDF"/>
    <w:rsid w:val="007169F7"/>
    <w:rsid w:val="007404F5"/>
    <w:rsid w:val="0076289D"/>
    <w:rsid w:val="00780783"/>
    <w:rsid w:val="00785B62"/>
    <w:rsid w:val="007B0DA7"/>
    <w:rsid w:val="007F1912"/>
    <w:rsid w:val="00821876"/>
    <w:rsid w:val="00822DAD"/>
    <w:rsid w:val="00830365"/>
    <w:rsid w:val="00844A00"/>
    <w:rsid w:val="008E13FB"/>
    <w:rsid w:val="008F4FC4"/>
    <w:rsid w:val="00911761"/>
    <w:rsid w:val="00930F50"/>
    <w:rsid w:val="00957F43"/>
    <w:rsid w:val="0097788D"/>
    <w:rsid w:val="009902BE"/>
    <w:rsid w:val="00995BA1"/>
    <w:rsid w:val="00AB1909"/>
    <w:rsid w:val="00AE005E"/>
    <w:rsid w:val="00B148B7"/>
    <w:rsid w:val="00B27836"/>
    <w:rsid w:val="00B5478C"/>
    <w:rsid w:val="00B57F81"/>
    <w:rsid w:val="00B930A0"/>
    <w:rsid w:val="00BA34F3"/>
    <w:rsid w:val="00BE29D4"/>
    <w:rsid w:val="00C3204A"/>
    <w:rsid w:val="00C34FAB"/>
    <w:rsid w:val="00C463DE"/>
    <w:rsid w:val="00C61721"/>
    <w:rsid w:val="00C618FB"/>
    <w:rsid w:val="00C8603A"/>
    <w:rsid w:val="00CC2F4F"/>
    <w:rsid w:val="00CC54EE"/>
    <w:rsid w:val="00CD4758"/>
    <w:rsid w:val="00D71E95"/>
    <w:rsid w:val="00D84B63"/>
    <w:rsid w:val="00D9039F"/>
    <w:rsid w:val="00DB02C4"/>
    <w:rsid w:val="00DC446A"/>
    <w:rsid w:val="00E23421"/>
    <w:rsid w:val="00E4549A"/>
    <w:rsid w:val="00E57AD0"/>
    <w:rsid w:val="00E63754"/>
    <w:rsid w:val="00E75ABA"/>
    <w:rsid w:val="00E92218"/>
    <w:rsid w:val="00EA5F29"/>
    <w:rsid w:val="00EB422C"/>
    <w:rsid w:val="00ED70A6"/>
    <w:rsid w:val="00ED7575"/>
    <w:rsid w:val="00F36088"/>
    <w:rsid w:val="00F57484"/>
    <w:rsid w:val="00F84014"/>
    <w:rsid w:val="00FA25AF"/>
    <w:rsid w:val="00FB3824"/>
    <w:rsid w:val="00FF239C"/>
    <w:rsid w:val="47916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link w:val="23"/>
    <w:semiHidden/>
    <w:unhideWhenUsed/>
    <w:uiPriority w:val="99"/>
    <w:pPr>
      <w:jc w:val="left"/>
    </w:pPr>
  </w:style>
  <w:style w:type="paragraph" w:styleId="4">
    <w:name w:val="Body Text"/>
    <w:basedOn w:val="1"/>
    <w:link w:val="14"/>
    <w:qFormat/>
    <w:uiPriority w:val="0"/>
    <w:pPr>
      <w:spacing w:after="120"/>
    </w:pPr>
  </w:style>
  <w:style w:type="paragraph" w:styleId="5">
    <w:name w:val="Body Text Indent 2"/>
    <w:basedOn w:val="1"/>
    <w:link w:val="22"/>
    <w:semiHidden/>
    <w:unhideWhenUsed/>
    <w:qFormat/>
    <w:uiPriority w:val="99"/>
    <w:pPr>
      <w:spacing w:after="120" w:line="480" w:lineRule="auto"/>
      <w:ind w:left="420" w:leftChars="200"/>
    </w:pPr>
  </w:style>
  <w:style w:type="paragraph" w:styleId="6">
    <w:name w:val="Balloon Text"/>
    <w:basedOn w:val="1"/>
    <w:link w:val="15"/>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color w:val="000000"/>
      <w:kern w:val="0"/>
      <w:sz w:val="24"/>
    </w:rPr>
  </w:style>
  <w:style w:type="paragraph" w:styleId="10">
    <w:name w:val="annotation subject"/>
    <w:basedOn w:val="3"/>
    <w:next w:val="3"/>
    <w:link w:val="24"/>
    <w:semiHidden/>
    <w:unhideWhenUsed/>
    <w:uiPriority w:val="99"/>
    <w:rPr>
      <w:b/>
      <w:bCs/>
    </w:rPr>
  </w:style>
  <w:style w:type="character" w:styleId="13">
    <w:name w:val="annotation reference"/>
    <w:basedOn w:val="12"/>
    <w:semiHidden/>
    <w:unhideWhenUsed/>
    <w:uiPriority w:val="99"/>
    <w:rPr>
      <w:sz w:val="21"/>
      <w:szCs w:val="21"/>
    </w:rPr>
  </w:style>
  <w:style w:type="character" w:customStyle="1" w:styleId="14">
    <w:name w:val="正文文本 字符"/>
    <w:basedOn w:val="12"/>
    <w:link w:val="4"/>
    <w:qFormat/>
    <w:uiPriority w:val="0"/>
    <w:rPr>
      <w:rFonts w:ascii="Times New Roman" w:hAnsi="Times New Roman" w:eastAsia="宋体" w:cs="Times New Roman"/>
      <w:szCs w:val="24"/>
    </w:rPr>
  </w:style>
  <w:style w:type="character" w:customStyle="1" w:styleId="15">
    <w:name w:val="批注框文本 字符"/>
    <w:basedOn w:val="12"/>
    <w:link w:val="6"/>
    <w:semiHidden/>
    <w:qFormat/>
    <w:uiPriority w:val="99"/>
    <w:rPr>
      <w:rFonts w:ascii="Times New Roman" w:hAnsi="Times New Roman" w:eastAsia="宋体" w:cs="Times New Roman"/>
      <w:sz w:val="18"/>
      <w:szCs w:val="18"/>
    </w:rPr>
  </w:style>
  <w:style w:type="paragraph" w:customStyle="1" w:styleId="16">
    <w:name w:val="Table Paragraph"/>
    <w:basedOn w:val="1"/>
    <w:qFormat/>
    <w:uiPriority w:val="1"/>
    <w:pPr>
      <w:jc w:val="center"/>
    </w:pPr>
    <w:rPr>
      <w:rFonts w:asciiTheme="minorHAnsi" w:hAnsiTheme="minorHAnsi" w:eastAsiaTheme="minorEastAsia" w:cstheme="minorBidi"/>
      <w:szCs w:val="22"/>
    </w:rPr>
  </w:style>
  <w:style w:type="character" w:customStyle="1" w:styleId="17">
    <w:name w:val="页眉 字符"/>
    <w:basedOn w:val="12"/>
    <w:link w:val="8"/>
    <w:qFormat/>
    <w:uiPriority w:val="99"/>
    <w:rPr>
      <w:rFonts w:ascii="Times New Roman" w:hAnsi="Times New Roman" w:eastAsia="宋体" w:cs="Times New Roman"/>
      <w:sz w:val="18"/>
      <w:szCs w:val="18"/>
    </w:rPr>
  </w:style>
  <w:style w:type="character" w:customStyle="1" w:styleId="18">
    <w:name w:val="页脚 字符"/>
    <w:basedOn w:val="12"/>
    <w:link w:val="7"/>
    <w:qFormat/>
    <w:uiPriority w:val="99"/>
    <w:rPr>
      <w:rFonts w:ascii="Times New Roman" w:hAnsi="Times New Roman" w:eastAsia="宋体" w:cs="Times New Roman"/>
      <w:sz w:val="18"/>
      <w:szCs w:val="18"/>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正文11"/>
    <w:basedOn w:val="1"/>
    <w:qFormat/>
    <w:uiPriority w:val="0"/>
    <w:pPr>
      <w:snapToGrid w:val="0"/>
      <w:spacing w:line="500" w:lineRule="atLeast"/>
      <w:ind w:firstLine="567"/>
    </w:pPr>
    <w:rPr>
      <w:kern w:val="0"/>
      <w:sz w:val="28"/>
      <w:szCs w:val="28"/>
    </w:rPr>
  </w:style>
  <w:style w:type="paragraph" w:customStyle="1" w:styleId="21">
    <w:name w:val="正文01"/>
    <w:basedOn w:val="2"/>
    <w:qFormat/>
    <w:uiPriority w:val="0"/>
    <w:pPr>
      <w:spacing w:line="360" w:lineRule="auto"/>
      <w:ind w:firstLine="480"/>
    </w:pPr>
    <w:rPr>
      <w:sz w:val="24"/>
    </w:rPr>
  </w:style>
  <w:style w:type="character" w:customStyle="1" w:styleId="22">
    <w:name w:val="正文文本缩进 2 字符"/>
    <w:basedOn w:val="12"/>
    <w:link w:val="5"/>
    <w:semiHidden/>
    <w:qFormat/>
    <w:uiPriority w:val="99"/>
    <w:rPr>
      <w:rFonts w:ascii="Times New Roman" w:hAnsi="Times New Roman" w:eastAsia="宋体" w:cs="Times New Roman"/>
      <w:szCs w:val="24"/>
    </w:rPr>
  </w:style>
  <w:style w:type="character" w:customStyle="1" w:styleId="23">
    <w:name w:val="批注文字 字符"/>
    <w:basedOn w:val="12"/>
    <w:link w:val="3"/>
    <w:semiHidden/>
    <w:uiPriority w:val="99"/>
    <w:rPr>
      <w:rFonts w:ascii="Times New Roman" w:hAnsi="Times New Roman" w:eastAsia="宋体" w:cs="Times New Roman"/>
      <w:szCs w:val="24"/>
    </w:rPr>
  </w:style>
  <w:style w:type="character" w:customStyle="1" w:styleId="24">
    <w:name w:val="批注主题 字符"/>
    <w:basedOn w:val="23"/>
    <w:link w:val="10"/>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384</Words>
  <Characters>2194</Characters>
  <Lines>18</Lines>
  <Paragraphs>5</Paragraphs>
  <TotalTime>25</TotalTime>
  <ScaleCrop>false</ScaleCrop>
  <LinksUpToDate>false</LinksUpToDate>
  <CharactersWithSpaces>2573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2021-04-09T15:46:00Z</dcterms:created>
  <dc:creator>yepeichun</dc:creator>
  <cp:lastModifiedBy>Daisy</cp:lastModifiedBy>
  <dcterms:modified xsi:type="dcterms:W3CDTF">2021-04-14T06:44:51Z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A881B22516DF49D6B81CAD34A52D804B</vt:lpwstr>
  </property>
</Properties>
</file>